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941E" w14:textId="3DE642D1" w:rsidR="00CD7215" w:rsidRPr="00CD7215" w:rsidRDefault="00CD7215" w:rsidP="00CD7215">
      <w:pPr>
        <w:pStyle w:val="NormalWeb"/>
        <w:spacing w:before="0" w:beforeAutospacing="0" w:after="0" w:afterAutospacing="0"/>
        <w:jc w:val="both"/>
        <w:textAlignment w:val="baseline"/>
        <w:rPr>
          <w:rFonts w:ascii="Mercury Text G1" w:hAnsi="Mercury Text G1" w:cs="Arial"/>
          <w:color w:val="222222"/>
          <w:sz w:val="22"/>
          <w:szCs w:val="22"/>
        </w:rPr>
      </w:pPr>
      <w:r>
        <w:rPr>
          <w:rFonts w:ascii="Mercury Text G1" w:hAnsi="Mercury Text G1" w:cs="Arial"/>
          <w:noProof/>
          <w:color w:val="222222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59E235E" wp14:editId="5EF3783D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2774950" cy="2913632"/>
            <wp:effectExtent l="0" t="0" r="6350" b="1270"/>
            <wp:wrapSquare wrapText="bothSides"/>
            <wp:docPr id="1501723228" name="Imagen 1" descr="Un hombre con traje y corba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23228" name="Imagen 1" descr="Un hombre con traje y corbat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291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El compositor, director de orquesta, pianista y productor musical granadino afincado en Los Angeles </w:t>
      </w:r>
      <w:r w:rsidRPr="00CD7215">
        <w:rPr>
          <w:rFonts w:ascii="Mercury Text G1" w:hAnsi="Mercury Text G1" w:cs="Arial"/>
          <w:b/>
          <w:bCs/>
          <w:color w:val="222222"/>
          <w:sz w:val="22"/>
          <w:szCs w:val="22"/>
          <w:bdr w:val="none" w:sz="0" w:space="0" w:color="auto" w:frame="1"/>
        </w:rPr>
        <w:t>Pedro Osuna</w:t>
      </w: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 ha recibido reconocimiento en el mundo de la música de concierto y del cine como una de las voces más prominentes de su generación y su carrera ha sido descrita como "meteórica".</w:t>
      </w:r>
    </w:p>
    <w:p w14:paraId="30D7329E" w14:textId="77777777" w:rsidR="00CD7215" w:rsidRPr="00CD7215" w:rsidRDefault="00CD7215" w:rsidP="00CD7215">
      <w:pPr>
        <w:pStyle w:val="NormalWeb"/>
        <w:spacing w:before="0" w:beforeAutospacing="0" w:after="0" w:afterAutospacing="0"/>
        <w:jc w:val="both"/>
        <w:textAlignment w:val="baseline"/>
        <w:rPr>
          <w:rFonts w:ascii="Mercury Text G1" w:hAnsi="Mercury Text G1" w:cs="Arial"/>
          <w:color w:val="222222"/>
          <w:sz w:val="22"/>
          <w:szCs w:val="22"/>
        </w:rPr>
      </w:pPr>
      <w:r w:rsidRPr="00CD7215">
        <w:rPr>
          <w:color w:val="222222"/>
          <w:sz w:val="22"/>
          <w:szCs w:val="22"/>
          <w:bdr w:val="none" w:sz="0" w:space="0" w:color="auto" w:frame="1"/>
        </w:rPr>
        <w:t>​</w:t>
      </w:r>
    </w:p>
    <w:p w14:paraId="4ABDAA92" w14:textId="77777777" w:rsidR="00CD7215" w:rsidRPr="00CD7215" w:rsidRDefault="00CD7215" w:rsidP="00CD7215">
      <w:pPr>
        <w:pStyle w:val="NormalWeb"/>
        <w:spacing w:before="0" w:beforeAutospacing="0" w:after="0" w:afterAutospacing="0"/>
        <w:jc w:val="both"/>
        <w:textAlignment w:val="baseline"/>
        <w:rPr>
          <w:rFonts w:ascii="Mercury Text G1" w:hAnsi="Mercury Text G1" w:cs="Arial"/>
          <w:color w:val="222222"/>
          <w:sz w:val="22"/>
          <w:szCs w:val="22"/>
        </w:rPr>
      </w:pP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Osuna estudió gracias a una beca en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Berklee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College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 of Music de Boston, donde recibió los premios más prestigiosos en escritura de fugas y composición cinematográfica </w:t>
      </w:r>
      <w:r w:rsidRPr="00CD7215">
        <w:rPr>
          <w:rFonts w:ascii="Mercury Text G1" w:hAnsi="Mercury Text G1" w:cs="Arial"/>
          <w:i/>
          <w:iCs/>
          <w:color w:val="222222"/>
          <w:sz w:val="22"/>
          <w:szCs w:val="22"/>
          <w:bdr w:val="none" w:sz="0" w:space="0" w:color="auto" w:frame="1"/>
        </w:rPr>
        <w:t xml:space="preserve">(Premio George </w:t>
      </w:r>
      <w:proofErr w:type="spellStart"/>
      <w:r w:rsidRPr="00CD7215">
        <w:rPr>
          <w:rFonts w:ascii="Mercury Text G1" w:hAnsi="Mercury Text G1" w:cs="Arial"/>
          <w:i/>
          <w:iCs/>
          <w:color w:val="222222"/>
          <w:sz w:val="22"/>
          <w:szCs w:val="22"/>
          <w:bdr w:val="none" w:sz="0" w:space="0" w:color="auto" w:frame="1"/>
        </w:rPr>
        <w:t>Delerue</w:t>
      </w:r>
      <w:proofErr w:type="spellEnd"/>
      <w:r w:rsidRPr="00CD7215">
        <w:rPr>
          <w:rFonts w:ascii="Mercury Text G1" w:hAnsi="Mercury Text G1" w:cs="Arial"/>
          <w:i/>
          <w:iCs/>
          <w:color w:val="222222"/>
          <w:sz w:val="22"/>
          <w:szCs w:val="22"/>
          <w:bdr w:val="none" w:sz="0" w:space="0" w:color="auto" w:frame="1"/>
        </w:rPr>
        <w:t>) </w:t>
      </w: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y se graduó con los más altos honores. Se convirtió en el primer estudiante de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Berklee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 en componer música para una película nominada a los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Oscars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 cuando aún era un estudiante y la persona más joven en orquestar una película de James Bond (</w:t>
      </w:r>
      <w:r w:rsidRPr="00CD7215">
        <w:rPr>
          <w:rFonts w:ascii="Mercury Text G1" w:hAnsi="Mercury Text G1" w:cs="Arial"/>
          <w:i/>
          <w:iCs/>
          <w:color w:val="222222"/>
          <w:sz w:val="22"/>
          <w:szCs w:val="22"/>
          <w:bdr w:val="none" w:sz="0" w:space="0" w:color="auto" w:frame="1"/>
        </w:rPr>
        <w:t xml:space="preserve">No Time </w:t>
      </w:r>
      <w:proofErr w:type="spellStart"/>
      <w:r w:rsidRPr="00CD7215">
        <w:rPr>
          <w:rFonts w:ascii="Mercury Text G1" w:hAnsi="Mercury Text G1" w:cs="Arial"/>
          <w:i/>
          <w:iCs/>
          <w:color w:val="222222"/>
          <w:sz w:val="22"/>
          <w:szCs w:val="22"/>
          <w:bdr w:val="none" w:sz="0" w:space="0" w:color="auto" w:frame="1"/>
        </w:rPr>
        <w:t>to</w:t>
      </w:r>
      <w:proofErr w:type="spellEnd"/>
      <w:r w:rsidRPr="00CD7215">
        <w:rPr>
          <w:rFonts w:ascii="Mercury Text G1" w:hAnsi="Mercury Text G1" w:cs="Arial"/>
          <w:i/>
          <w:iCs/>
          <w:color w:val="222222"/>
          <w:sz w:val="22"/>
          <w:szCs w:val="22"/>
          <w:bdr w:val="none" w:sz="0" w:space="0" w:color="auto" w:frame="1"/>
        </w:rPr>
        <w:t xml:space="preserve"> Die</w:t>
      </w: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). </w:t>
      </w:r>
    </w:p>
    <w:p w14:paraId="27A6EE80" w14:textId="4DDFDB2A" w:rsidR="00CD7215" w:rsidRPr="00CD7215" w:rsidRDefault="00CD7215" w:rsidP="00CD7215">
      <w:pPr>
        <w:pStyle w:val="NormalWeb"/>
        <w:spacing w:before="0" w:beforeAutospacing="0" w:after="0" w:afterAutospacing="0"/>
        <w:jc w:val="both"/>
        <w:textAlignment w:val="baseline"/>
        <w:rPr>
          <w:rFonts w:ascii="Mercury Text G1" w:hAnsi="Mercury Text G1" w:cs="Arial"/>
          <w:color w:val="222222"/>
          <w:sz w:val="22"/>
          <w:szCs w:val="22"/>
        </w:rPr>
      </w:pP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br/>
        <w:t>Continuó sus estudios de dirección con 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</w:rPr>
        <w:t>Isaiah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</w:rPr>
        <w:t xml:space="preserve"> Jackson en Boston, alumno de Nadia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</w:rPr>
        <w:t>Boulanger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</w:rPr>
        <w:t xml:space="preserve"> y director del Royal Ballet y el Royal Opera House en Londres, y de composición en UCLA con una beca completa bajo la dirección del compositor ganador del Grammy® Richard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</w:rPr>
        <w:t>Danielpour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</w:rPr>
        <w:t>.</w:t>
      </w:r>
    </w:p>
    <w:p w14:paraId="27B6ACA9" w14:textId="3D589AA5" w:rsidR="00CD7215" w:rsidRPr="00CD7215" w:rsidRDefault="00CD7215" w:rsidP="00CD7215">
      <w:pPr>
        <w:pStyle w:val="NormalWeb"/>
        <w:spacing w:before="0" w:beforeAutospacing="0" w:after="0" w:afterAutospacing="0"/>
        <w:jc w:val="both"/>
        <w:textAlignment w:val="baseline"/>
        <w:rPr>
          <w:rFonts w:ascii="Mercury Text G1" w:hAnsi="Mercury Text G1" w:cs="Arial"/>
          <w:color w:val="222222"/>
          <w:sz w:val="22"/>
          <w:szCs w:val="22"/>
        </w:rPr>
      </w:pP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br/>
        <w:t xml:space="preserve">En 2022, trabajó para el compositor y director ganador del Oscar Michael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Giacchino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, quien lo recomendó como compositor de la </w:t>
      </w:r>
      <w:r w:rsidRPr="00CD7215">
        <w:rPr>
          <w:rFonts w:ascii="Mercury Text G1" w:hAnsi="Mercury Text G1" w:cs="Arial"/>
          <w:b/>
          <w:bCs/>
          <w:color w:val="222222"/>
          <w:sz w:val="22"/>
          <w:szCs w:val="22"/>
          <w:bdr w:val="none" w:sz="0" w:space="0" w:color="auto" w:frame="1"/>
        </w:rPr>
        <w:t>película ganadora del Globo de Oro y nominada al Oscar </w:t>
      </w:r>
      <w:r w:rsidRPr="00CD7215">
        <w:rPr>
          <w:rFonts w:ascii="Mercury Text G1" w:hAnsi="Mercury Text G1" w:cs="Arial"/>
          <w:b/>
          <w:bCs/>
          <w:i/>
          <w:iCs/>
          <w:color w:val="222222"/>
          <w:sz w:val="22"/>
          <w:szCs w:val="22"/>
          <w:bdr w:val="none" w:sz="0" w:space="0" w:color="auto" w:frame="1"/>
        </w:rPr>
        <w:t>Argentina, 1985, </w:t>
      </w: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banda sonora por la cual fue nominado a Mejor Música en los premios Platino.</w:t>
      </w:r>
    </w:p>
    <w:p w14:paraId="260A93CE" w14:textId="77777777" w:rsidR="00CD7215" w:rsidRPr="00CD7215" w:rsidRDefault="00CD7215" w:rsidP="00CD7215">
      <w:pPr>
        <w:pStyle w:val="NormalWeb"/>
        <w:spacing w:before="0" w:beforeAutospacing="0" w:after="0" w:afterAutospacing="0"/>
        <w:jc w:val="both"/>
        <w:textAlignment w:val="baseline"/>
        <w:rPr>
          <w:rFonts w:ascii="Mercury Text G1" w:hAnsi="Mercury Text G1" w:cs="Arial"/>
          <w:color w:val="222222"/>
          <w:sz w:val="22"/>
          <w:szCs w:val="22"/>
        </w:rPr>
      </w:pPr>
      <w:r w:rsidRPr="00CD7215">
        <w:rPr>
          <w:color w:val="222222"/>
          <w:sz w:val="22"/>
          <w:szCs w:val="22"/>
          <w:bdr w:val="none" w:sz="0" w:space="0" w:color="auto" w:frame="1"/>
        </w:rPr>
        <w:t>​</w:t>
      </w:r>
    </w:p>
    <w:p w14:paraId="7ED51974" w14:textId="1FE7A809" w:rsidR="00CD7215" w:rsidRPr="00CD7215" w:rsidRDefault="00CD7215" w:rsidP="00CD7215">
      <w:pPr>
        <w:pStyle w:val="NormalWeb"/>
        <w:spacing w:before="0" w:beforeAutospacing="0" w:after="0" w:afterAutospacing="0"/>
        <w:jc w:val="both"/>
        <w:textAlignment w:val="baseline"/>
        <w:rPr>
          <w:rFonts w:ascii="Mercury Text G1" w:hAnsi="Mercury Text G1" w:cs="Arial"/>
          <w:color w:val="222222"/>
          <w:sz w:val="22"/>
          <w:szCs w:val="22"/>
        </w:rPr>
      </w:pP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Como compositor de música de concierto, Osuna ha colaborado con conjuntos como la Royal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Philharmonic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, Los Angeles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Children's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Chorus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Quatour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Diotima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, y artistas como la ganadora del Grammy® Hila Plitmann, Pablo Sainz Villegas y muchos otros. Su música se ha interpretado por el mundo desde lugares como el Walt Disney </w:t>
      </w:r>
      <w:proofErr w:type="spellStart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Concert</w:t>
      </w:r>
      <w:proofErr w:type="spellEnd"/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 xml:space="preserve"> Hall en Los Angeles hasta la Alhambra de Granada, España. Disfruta de todo tipo de colaboraciones, y su último trabajo con el coreógrafo Cubano Joan Rodriguez, una obra sobre la crisis de misiles en Cuba llamada </w:t>
      </w:r>
      <w:proofErr w:type="spellStart"/>
      <w:r w:rsidRPr="00CD7215">
        <w:rPr>
          <w:rFonts w:ascii="Mercury Text G1" w:hAnsi="Mercury Text G1" w:cs="Arial"/>
          <w:i/>
          <w:iCs/>
          <w:color w:val="222222"/>
          <w:sz w:val="22"/>
          <w:szCs w:val="22"/>
          <w:bdr w:val="none" w:sz="0" w:space="0" w:color="auto" w:frame="1"/>
        </w:rPr>
        <w:t>Bloquea'o</w:t>
      </w:r>
      <w:proofErr w:type="spellEnd"/>
      <w:r w:rsidRPr="00CD7215">
        <w:rPr>
          <w:rFonts w:ascii="Mercury Text G1" w:hAnsi="Mercury Text G1" w:cs="Arial"/>
          <w:i/>
          <w:iCs/>
          <w:color w:val="222222"/>
          <w:sz w:val="22"/>
          <w:szCs w:val="22"/>
          <w:bdr w:val="none" w:sz="0" w:space="0" w:color="auto" w:frame="1"/>
        </w:rPr>
        <w:t>,</w:t>
      </w:r>
      <w:r w:rsidRPr="00CD7215">
        <w:rPr>
          <w:rFonts w:ascii="Mercury Text G1" w:hAnsi="Mercury Text G1" w:cs="Arial"/>
          <w:color w:val="222222"/>
          <w:sz w:val="22"/>
          <w:szCs w:val="22"/>
          <w:bdr w:val="none" w:sz="0" w:space="0" w:color="auto" w:frame="1"/>
        </w:rPr>
        <w:t> está de gira con la compañía de danza BODYTRAFFIC y la violonchelista SUUVI.</w:t>
      </w:r>
    </w:p>
    <w:p w14:paraId="5FEE69A7" w14:textId="77777777" w:rsidR="007C3A7F" w:rsidRPr="00CD7215" w:rsidRDefault="007C3A7F"/>
    <w:sectPr w:rsidR="007C3A7F" w:rsidRPr="00CD7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cury Text G1">
    <w:altName w:val="Calibri"/>
    <w:panose1 w:val="02000503080000020003"/>
    <w:charset w:val="00"/>
    <w:family w:val="auto"/>
    <w:pitch w:val="variable"/>
    <w:sig w:usb0="800000A7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5" type="#_x0000_t75" style="width:4pt;height:1pt;visibility:visible;mso-wrap-style:square" o:bullet="t">
        <v:imagedata r:id="rId1" o:title=""/>
      </v:shape>
    </w:pict>
  </w:numPicBullet>
  <w:abstractNum w:abstractNumId="0" w15:restartNumberingAfterBreak="0">
    <w:nsid w:val="77E553AF"/>
    <w:multiLevelType w:val="hybridMultilevel"/>
    <w:tmpl w:val="4C70BB38"/>
    <w:lvl w:ilvl="0" w:tplc="E028E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F81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0E3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C4B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E1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621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A0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E90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0B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911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15"/>
    <w:rsid w:val="007C3A7F"/>
    <w:rsid w:val="00C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A588"/>
  <w15:chartTrackingRefBased/>
  <w15:docId w15:val="{465502E7-6F87-4B27-8415-200BC505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cury Text G1" w:eastAsiaTheme="minorHAnsi" w:hAnsi="Mercury Text G1" w:cs="Times New Roma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7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72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72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72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2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72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72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72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2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2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2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2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72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72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72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7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2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72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72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72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72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2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72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7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 de Granada</dc:creator>
  <cp:keywords/>
  <dc:description/>
  <cp:lastModifiedBy>Festival de Granada</cp:lastModifiedBy>
  <cp:revision>1</cp:revision>
  <dcterms:created xsi:type="dcterms:W3CDTF">2024-01-16T07:56:00Z</dcterms:created>
  <dcterms:modified xsi:type="dcterms:W3CDTF">2024-01-16T07:59:00Z</dcterms:modified>
</cp:coreProperties>
</file>